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nts/台灣明體.ttf" ContentType="application/x-font-ttf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Bdr>
          <w:bottom w:val="single" w:sz="6" w:space="1" w:color="CCCCCC"/>
        </w:pBdr>
      </w:pPr>
    </w:p>
    <w:p>
      <w:pPr>
        <w:pStyle w:val="Heading2"/>
      </w:pPr>
      <w:r>
        <w:rPr>
          <w:rFonts w:ascii="台灣明體" w:hAnsi="台灣明體" w:eastAsia="台灣明體"/>
          <w:b/>
          <w:sz w:val="30"/>
        </w:rPr>
        <w:t>layout: default</w:t>
      </w:r>
    </w:p>
    <w:p>
      <w:r>
        <w:rPr>
          <w:rFonts w:ascii="台灣明體" w:hAnsi="台灣明體" w:eastAsia="台灣明體"/>
          <w:b w:val="0"/>
          <w:sz w:val="26"/>
        </w:rPr>
        <w:br/>
        <w:t xml:space="preserve">    body {</w:t>
        <w:br/>
        <w:br/>
        <w:t xml:space="preserve">    }</w:t>
        <w:br/>
        <w:t xml:space="preserve">    p.big {</w:t>
        <w:br/>
        <w:t xml:space="preserve">      line-height: 3;</w:t>
        <w:br/>
        <w:t xml:space="preserve">      font-size: x-large;</w:t>
        <w:br/>
        <w:t xml:space="preserve">    }</w:t>
        <w:br/>
        <w:t xml:space="preserve">    p {</w:t>
        <w:br/>
        <w:t xml:space="preserve">      font-size: 1.5em;</w:t>
        <w:br/>
        <w:t xml:space="preserve">    }</w:t>
        <w:br/>
        <w:t xml:space="preserve">    </w:t>
      </w:r>
    </w:p>
    <w:p>
      <w:pPr>
        <w:jc w:val="center"/>
      </w:pPr>
      <w:r>
        <w:rPr>
          <w:rFonts w:ascii="台灣明體" w:hAnsi="台灣明體" w:eastAsia="台灣明體"/>
          <w:b w:val="0"/>
          <w:sz w:val="26"/>
        </w:rPr>
        <w:t xml:space="preserve"> 司馬遷《史記 · 項羽本紀》 </w:t>
      </w:r>
    </w:p>
    <w:p>
      <w:pPr>
        <w:pStyle w:val="Heading1"/>
      </w:pPr>
      <w:r>
        <w:rPr>
          <w:rFonts w:ascii="台灣明體" w:hAnsi="台灣明體" w:eastAsia="台灣明體"/>
          <w:b/>
          <w:sz w:val="34"/>
        </w:rPr>
        <w:t>原文</w:t>
      </w:r>
    </w:p>
    <w:p>
      <w:r>
        <w:rPr>
          <w:rFonts w:ascii="台灣明體" w:hAnsi="台灣明體" w:eastAsia="台灣明體"/>
          <w:b w:val="0"/>
          <w:sz w:val="26"/>
        </w:rPr>
        <w:br/>
      </w:r>
      <w:r>
        <w:rPr>
          <w:rFonts w:ascii="台灣明體" w:hAnsi="台灣明體" w:eastAsia="台灣明體"/>
          <w:b w:val="0"/>
          <w:sz w:val="26"/>
        </w:rPr>
        <w:br/>
      </w:r>
      <w:r>
        <w:rPr>
          <w:rFonts w:ascii="台灣明體" w:hAnsi="台灣明體" w:eastAsia="台灣明體"/>
          <w:b w:val="0"/>
          <w:sz w:val="26"/>
        </w:rPr>
        <w:t>👇👇按此👇👇</w:t>
      </w:r>
      <w:r>
        <w:rPr>
          <w:rFonts w:ascii="台灣明體" w:hAnsi="台灣明體" w:eastAsia="台灣明體"/>
          <w:b w:val="0"/>
          <w:sz w:val="26"/>
        </w:rPr>
        <w:br/>
      </w:r>
      <w:r>
        <w:rPr>
          <w:rFonts w:ascii="台灣明體" w:hAnsi="台灣明體" w:eastAsia="台灣明體"/>
          <w:b w:val="0"/>
          <w:sz w:val="26"/>
        </w:rPr>
        <w:br/>
      </w:r>
      <w:r>
        <w:rPr>
          <w:rFonts w:ascii="台灣明體" w:hAnsi="台灣明體" w:eastAsia="台灣明體"/>
          <w:b w:val="0"/>
          <w:sz w:val="26"/>
        </w:rPr>
        <w:br/>
        <w:t xml:space="preserve">  項王軍壁垓下，兵少食盡，漢軍及諸侯兵圍之數重。夜聞漢軍四面皆楚歌，項王乃大驚曰：「漢皆已得楚乎？是何楚人之多也！」項王則夜起，飲帳中。有美人名虞，常幸從；駿馬名騅，常騎之。於是項王乃悲歌慨，自為詩曰：「力拔山兮氣蓋世，時不利兮騅不逝。騅不逝兮可柰何，虞兮虞兮柰若何！」歌數闋，美人和之。項王泣數行下，左右皆泣，莫能仰視。</w:t>
        <w:br/>
        <w:br/>
        <w:t xml:space="preserve">  於是項王乃上馬騎，麾下壯士騎從者八百餘人，直夜潰圍南出，馳走。平明，漢軍乃覺之，令騎將灌嬰以五千騎追之。項王渡淮，騎能屬者百餘人耳。項王至陰陵，迷失道，問一田父，田父紿曰「左」。左，乃陷大澤中。以故漢追及之。項王乃復引兵而東，至東城，乃有二十八騎。漢騎追者數千人。項王自度不得脫。謂其騎曰：「吾起兵至今八歲矣，身七十餘戰，所當者破，所擊者服，未嘗敗北，遂霸有天下。然今卒困於此，此天之亡我，非戰之罪也。今日固決死，願為諸君快戰，必三勝之，為諸君潰圍，斬將，刈旗，令諸君知天亡我，非戰之罪也。」乃分其騎以為四隊，四向。漢軍圍之數重。項王謂其騎曰：「吾為公取彼一將。」令四面騎馳下，期山東為三處。於是項王大呼馳下，漢軍皆披靡，遂斬漢一將。是時，赤泉侯為騎將，追項王，項王瞋目而叱之，赤泉侯人馬俱驚，辟易數里與其騎會為三處。漢軍不知項王所在，乃分軍為三，復圍之。項王乃馳，復斬漢一都尉，殺數十百人，復聚其騎，亡其兩騎耳。乃謂其騎曰：「何如？」騎皆伏曰：「如大王言。」</w:t>
        <w:br/>
        <w:br/>
        <w:t xml:space="preserve">  於是項王乃欲東渡烏江。烏江亭長檥船待，謂項王曰：「江東雖小，地方千里，眾數十萬人，亦足王也。願大王急渡。今獨臣有船，漢軍至，無以渡。」項王笑曰：「天之亡我，我何渡為！且籍與江東子弟八千人渡江而西，今無一人還，縱江東父兄憐而王我，我何面目見之？縱彼不言，籍獨不愧於心乎？」乃謂亭長曰：「吾知公長者。吾騎此馬五歲，所當無敵，嘗一日行千里，不忍殺之，以賜公。」乃令騎皆下馬步行，持短兵接戰。獨籍所殺漢軍數百人。項王身亦被十餘創。顧見漢騎司馬呂馬童，曰：「若非吾故人乎？」馬童面之，指王翳曰：「此項王也。」項王乃曰：「吾聞漢購我頭千金，邑萬戶，吾為若德。」乃自刎而死。</w:t>
        <w:br/>
        <w:t xml:space="preserve">  </w:t>
      </w:r>
      <w:r>
        <w:rPr>
          <w:rFonts w:ascii="台灣明體" w:hAnsi="台灣明體" w:eastAsia="台灣明體"/>
          <w:b w:val="0"/>
          <w:sz w:val="26"/>
        </w:rPr>
        <w:br/>
      </w:r>
    </w:p>
    <w:p>
      <w:r>
        <w:br/>
      </w:r>
    </w:p>
    <w:p>
      <w:r>
        <w:rPr>
          <w:rFonts w:ascii="台灣明體" w:hAnsi="台灣明體" w:eastAsia="台灣明體"/>
          <w:b w:val="0"/>
          <w:sz w:val="26"/>
        </w:rPr>
        <w:t>目錄</w:t>
      </w:r>
    </w:p>
    <w:sectPr w:rsidR="00FC693F" w:rsidRPr="0006063C" w:rsidSect="00034616">
      <w:pgSz w:w="8640" w:h="12960"/>
      <w:pgMar w:top="864" w:right="864" w:bottom="864" w:left="864" w:header="720" w:footer="720" w:gutter="0"/>
      <w:cols w:space="720"/>
      <w:docGrid w:linePitch="360"/>
      <w:textDirection w:val="tbRl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  <w:rPr>
      <w:rFonts w:ascii="台灣明體" w:hAnsi="台灣明體" w:eastAsia="台灣明體"/>
      <w:sz w:val="26"/>
    </w:rPr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120" w:after="80"/>
      <w:outlineLvl w:val="0"/>
    </w:pPr>
    <w:rPr>
      <w:rFonts w:asciiTheme="majorHAnsi" w:eastAsiaTheme="majorEastAsia" w:hAnsiTheme="majorHAnsi" w:cstheme="majorBidi" w:ascii="台灣明體" w:hAnsi="台灣明體" w:eastAsia="台灣明體"/>
      <w:b/>
      <w:bCs/>
      <w:color w:val="365F91" w:themeColor="accent1" w:themeShade="BF"/>
      <w:sz w:val="34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120" w:after="80"/>
      <w:outlineLvl w:val="1"/>
    </w:pPr>
    <w:rPr>
      <w:rFonts w:asciiTheme="majorHAnsi" w:eastAsiaTheme="majorEastAsia" w:hAnsiTheme="majorHAnsi" w:cstheme="majorBidi" w:ascii="台灣明體" w:hAnsi="台灣明體" w:eastAsia="台灣明體"/>
      <w:b/>
      <w:bCs/>
      <w:color w:val="4F81BD" w:themeColor="accent1"/>
      <w:sz w:val="30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120" w:after="80"/>
      <w:outlineLvl w:val="2"/>
    </w:pPr>
    <w:rPr>
      <w:rFonts w:asciiTheme="majorHAnsi" w:eastAsiaTheme="majorEastAsia" w:hAnsiTheme="majorHAnsi" w:cstheme="majorBidi" w:ascii="台灣明體" w:hAnsi="台灣明體" w:eastAsia="台灣明體"/>
      <w:b/>
      <w:bCs/>
      <w:color w:val="4F81BD" w:themeColor="accent1"/>
      <w:sz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font" Target="fonts/&#21488;&#28771;&#26126;&#39636;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